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F82" w:rsidP="00563F33" w:rsidRDefault="00563F33" w14:paraId="365C89F6" w14:textId="5835C6CA">
      <w:pPr>
        <w:pStyle w:val="Title"/>
        <w:jc w:val="center"/>
        <w:rPr>
          <w:lang w:val="fr-CA"/>
        </w:rPr>
      </w:pPr>
      <w:r>
        <w:rPr>
          <w:lang w:val="fr-CA"/>
        </w:rPr>
        <w:t>Checklist for Accessibility</w:t>
      </w:r>
    </w:p>
    <w:p w:rsidR="00563F33" w:rsidP="00563F33" w:rsidRDefault="00563F33" w14:paraId="15A69112" w14:textId="1B094255">
      <w:pPr>
        <w:pStyle w:val="Heading1"/>
        <w:rPr>
          <w:lang w:val="fr-CA"/>
        </w:rPr>
      </w:pPr>
      <w:proofErr w:type="spellStart"/>
      <w:r>
        <w:rPr>
          <w:lang w:val="fr-CA"/>
        </w:rPr>
        <w:t>Organizing</w:t>
      </w:r>
      <w:proofErr w:type="spellEnd"/>
      <w:r>
        <w:rPr>
          <w:lang w:val="fr-CA"/>
        </w:rPr>
        <w:t xml:space="preserve"> content</w:t>
      </w:r>
    </w:p>
    <w:p w:rsidRPr="00563F33" w:rsidR="00563F33" w:rsidP="00563F33" w:rsidRDefault="00E358F3" w14:paraId="76975DA2" w14:textId="6AF275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273372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Content is organized under headings and subheadings.</w:t>
      </w:r>
    </w:p>
    <w:p w:rsidRPr="00563F33" w:rsidR="00563F33" w:rsidP="00563F33" w:rsidRDefault="00E358F3" w14:paraId="27F01766" w14:textId="1268044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273906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Headings and subheadings are used sequentially (e.g., Heading 1, Heading 2).</w:t>
      </w:r>
    </w:p>
    <w:p w:rsidR="00563F33" w:rsidP="00563F33" w:rsidRDefault="00563F33" w14:paraId="3D0260F2" w14:textId="43436013">
      <w:pPr>
        <w:pStyle w:val="Heading1"/>
      </w:pPr>
      <w:r>
        <w:t>Images</w:t>
      </w:r>
    </w:p>
    <w:p w:rsidRPr="00563F33" w:rsidR="00563F33" w:rsidP="00563F33" w:rsidRDefault="00E358F3" w14:paraId="771DE424" w14:textId="4938879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-34786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Images that convey information include alternative text (alt text) descriptions of the image’s content or function.</w:t>
      </w:r>
    </w:p>
    <w:p w:rsidRPr="00563F33" w:rsidR="00563F33" w:rsidP="00563F33" w:rsidRDefault="00E358F3" w14:paraId="50C61EAE" w14:textId="0C07F75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256946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Graphs, charts, and maps also include contextual or supporting details in the text surrounding the image.</w:t>
      </w:r>
    </w:p>
    <w:p w:rsidRPr="00563F33" w:rsidR="00563F33" w:rsidP="00563F33" w:rsidRDefault="00E358F3" w14:paraId="5B93DEBD" w14:textId="19FF27A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173859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Images do not rely on colour to convey information.</w:t>
      </w:r>
    </w:p>
    <w:p w:rsidRPr="00563F33" w:rsidR="00563F33" w:rsidP="00563F33" w:rsidRDefault="00E358F3" w14:paraId="52D4D738" w14:textId="2CACC45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-98278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Images that are purely decorative do not have alt text descriptions. (Descriptive text is unnecessary if the image doesn’t convey contextual content information).</w:t>
      </w:r>
    </w:p>
    <w:p w:rsidR="00563F33" w:rsidP="00563F33" w:rsidRDefault="00563F33" w14:paraId="6F96F125" w14:textId="06B70B52">
      <w:pPr>
        <w:pStyle w:val="Heading1"/>
      </w:pPr>
      <w:r>
        <w:t>Links</w:t>
      </w:r>
    </w:p>
    <w:p w:rsidRPr="00563F33" w:rsidR="00563F33" w:rsidP="00563F33" w:rsidRDefault="00E358F3" w14:paraId="67196369" w14:textId="0A8D83E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1169297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The link text </w:t>
      </w:r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provides meaningful context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and does not use generic text such as “click here” or “read more.”</w:t>
      </w:r>
    </w:p>
    <w:p w:rsidRPr="00563F33" w:rsidR="00563F33" w:rsidP="00563F33" w:rsidRDefault="00E358F3" w14:paraId="5407A110" w14:textId="2196837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43533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If a link will open or download a file (like a PDF or Excel file), a textual reference is included in the link information (e.g., [PDF]).</w:t>
      </w:r>
    </w:p>
    <w:p w:rsidRPr="00563F33" w:rsidR="00563F33" w:rsidP="00563F33" w:rsidRDefault="00E358F3" w14:paraId="43BACE8F" w14:textId="788A0ED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1592283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Links do not open in new windows or tabs.</w:t>
      </w:r>
    </w:p>
    <w:p w:rsidRPr="00563F33" w:rsidR="00563F33" w:rsidP="00563F33" w:rsidRDefault="00E358F3" w14:paraId="7093256E" w14:textId="6E6A8FB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-455411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If a link must open in a new window or tab, a textual reference is included in the link information (e.g., [</w:t>
      </w:r>
      <w:proofErr w:type="spellStart"/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NewTab</w:t>
      </w:r>
      <w:proofErr w:type="spellEnd"/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]).</w:t>
      </w:r>
    </w:p>
    <w:p w:rsidRPr="00563F33" w:rsidR="00563F33" w:rsidP="00563F33" w:rsidRDefault="00E358F3" w14:paraId="580FD2DD" w14:textId="64CB464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id w:val="-1050063221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eastAsia="Times New Roman" w:cs="Calibri" w:cstheme="minorAscii"/>
            <w:color w:val="373D3F"/>
            <w:kern w:val="0"/>
            <w:sz w:val="24"/>
            <w:szCs w:val="24"/>
            <w:lang w:eastAsia="en-CA"/>
            <w14:ligatures w14:val="none"/>
          </w:rPr>
        </w:sdtPr>
        <w:sdtContent>
          <w:r w:rsidRPr="1BAC82BB" w:rsidR="00E358F3">
            <w:rPr>
              <w:rFonts w:ascii="MS Gothic" w:hAnsi="MS Gothic" w:eastAsia="MS Gothic" w:cs="Calibri" w:cstheme="minorAsci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  <w:sdtEndPr>
          <w:rPr>
            <w:rFonts w:eastAsia="Times New Roman" w:cs="Calibri" w:cstheme="minorAscii"/>
            <w:color w:val="373D3F"/>
            <w:sz w:val="24"/>
            <w:szCs w:val="24"/>
            <w:lang w:eastAsia="en-CA"/>
          </w:rPr>
        </w:sdtEndPr>
      </w:sdt>
      <w:r w:rsidRPr="1BAC82BB" w:rsidR="00563F33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>For citations and references, the title of the resource is hyperlinked, and the full URL is not hyperlinked.</w:t>
      </w:r>
    </w:p>
    <w:p w:rsidR="00563F33" w:rsidP="00563F33" w:rsidRDefault="00563F33" w14:paraId="7686D303" w14:textId="75BD7411">
      <w:pPr>
        <w:pStyle w:val="Heading1"/>
      </w:pPr>
      <w:r>
        <w:lastRenderedPageBreak/>
        <w:t>Tables</w:t>
      </w:r>
    </w:p>
    <w:p w:rsidRPr="00563F33" w:rsidR="00563F33" w:rsidP="1BAC82BB" w:rsidRDefault="00E358F3" w14:paraId="674248AB" w14:textId="48B5160E">
      <w:pPr>
        <w:shd w:val="clear" w:color="auto" w:fill="FFFFFF" w:themeFill="background1"/>
        <w:spacing w:before="0" w:beforeAutospacing="off" w:after="100" w:afterAutospacing="on" w:line="240" w:lineRule="auto"/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id w:val="1176777833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eastAsia="Times New Roman" w:cs="Calibri" w:cstheme="minorAscii"/>
            <w:color w:val="373D3F"/>
            <w:kern w:val="0"/>
            <w:sz w:val="24"/>
            <w:szCs w:val="24"/>
            <w:lang w:eastAsia="en-CA"/>
            <w14:ligatures w14:val="none"/>
          </w:rPr>
        </w:sdtPr>
        <w:sdtContent>
          <w:r w:rsidRPr="1BAC82BB" w:rsidR="00E358F3">
            <w:rPr>
              <w:rFonts w:ascii="MS Gothic" w:hAnsi="MS Gothic" w:eastAsia="MS Gothic" w:cs="Calibri" w:cstheme="minorAsci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  <w:sdtEndPr>
          <w:rPr>
            <w:rFonts w:eastAsia="Times New Roman" w:cs="Calibri" w:cstheme="minorAscii"/>
            <w:color w:val="373D3F"/>
            <w:sz w:val="24"/>
            <w:szCs w:val="24"/>
            <w:lang w:eastAsia="en-CA"/>
          </w:rPr>
        </w:sdtEndPr>
      </w:sdt>
      <w:r w:rsidRPr="1BAC82BB" w:rsidR="00E358F3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1BAC82BB" w:rsidR="00563F33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>Tables include row and column headers.</w:t>
      </w:r>
    </w:p>
    <w:p w:rsidRPr="00563F33" w:rsidR="00563F33" w:rsidP="00563F33" w:rsidRDefault="00E358F3" w14:paraId="74EAAC99" w14:textId="31E4F56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1411200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Row and column headers have the correct scope assigned.</w:t>
      </w:r>
    </w:p>
    <w:p w:rsidRPr="00563F33" w:rsidR="00563F33" w:rsidP="00563F33" w:rsidRDefault="00E358F3" w14:paraId="69EC59AC" w14:textId="350AEE3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38436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Tables include a caption.</w:t>
      </w:r>
    </w:p>
    <w:p w:rsidRPr="00563F33" w:rsidR="00563F33" w:rsidP="00563F33" w:rsidRDefault="00E358F3" w14:paraId="2B39117F" w14:textId="7CE913A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106475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Tables avoid merged or split cells.</w:t>
      </w:r>
    </w:p>
    <w:p w:rsidRPr="00563F33" w:rsidR="00563F33" w:rsidP="00563F33" w:rsidRDefault="00E358F3" w14:paraId="47611233" w14:textId="02009C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1678465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Tables have adequate cell padding.</w:t>
      </w:r>
    </w:p>
    <w:p w:rsidR="00563F33" w:rsidP="00563F33" w:rsidRDefault="00563F33" w14:paraId="405C9209" w14:textId="1F4EEEE9">
      <w:pPr>
        <w:pStyle w:val="Heading1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Multimedia </w:t>
      </w:r>
    </w:p>
    <w:p w:rsidR="00E358F3" w:rsidP="00563F33" w:rsidRDefault="00E20018" w14:paraId="3B65F5A3" w14:textId="520A00E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1808511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="00E358F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A transcript is available for all multimedia resource, including relevant non-speech content. </w:t>
      </w:r>
    </w:p>
    <w:p w:rsidR="00E358F3" w:rsidP="00563F33" w:rsidRDefault="00E20018" w14:paraId="4D42619C" w14:textId="2FB417D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-84948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="00E358F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For audio and video content, t</w:t>
      </w:r>
      <w:r w:rsidR="00E358F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ranscript includes</w:t>
      </w:r>
      <w:r w:rsidR="00E358F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: </w:t>
      </w:r>
    </w:p>
    <w:p w:rsidR="00E358F3" w:rsidP="126C98ED" w:rsidRDefault="00E20018" w14:paraId="40843CB2" w14:textId="17A067EF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ind w:left="720"/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id w:val="-149602253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eastAsia="Times New Roman" w:cs="Calibri" w:cstheme="minorAscii"/>
            <w:color w:val="373D3F"/>
            <w:kern w:val="0"/>
            <w:sz w:val="24"/>
            <w:szCs w:val="24"/>
            <w:lang w:eastAsia="en-CA"/>
            <w14:ligatures w14:val="none"/>
          </w:rPr>
        </w:sdtPr>
        <w:sdtContent>
          <w:r w:rsidRPr="126C98ED" w:rsidR="00E20018">
            <w:rPr>
              <w:rFonts w:ascii="MS Gothic" w:hAnsi="MS Gothic" w:eastAsia="MS Gothic" w:cs="Calibri" w:cstheme="minorAsci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  <w:sdtEndPr>
          <w:rPr>
            <w:rFonts w:eastAsia="Times New Roman" w:cs="Calibri" w:cstheme="minorAscii"/>
            <w:color w:val="373D3F"/>
            <w:sz w:val="24"/>
            <w:szCs w:val="24"/>
            <w:lang w:eastAsia="en-CA"/>
          </w:rPr>
        </w:sdtEndPr>
      </w:sdt>
      <w:r w:rsidRPr="126C98ED" w:rsidR="00E20018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126C98ED" w:rsidR="00E358F3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>Speaker’s name</w:t>
      </w:r>
    </w:p>
    <w:p w:rsidR="00E358F3" w:rsidP="126C98ED" w:rsidRDefault="00E20018" w14:paraId="1CB0DC5C" w14:textId="05F50815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ind w:left="720"/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id w:val="-937369292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eastAsia="Times New Roman" w:cs="Calibri" w:cstheme="minorAscii"/>
            <w:color w:val="373D3F"/>
            <w:kern w:val="0"/>
            <w:sz w:val="24"/>
            <w:szCs w:val="24"/>
            <w:lang w:eastAsia="en-CA"/>
            <w14:ligatures w14:val="none"/>
          </w:rPr>
        </w:sdtPr>
        <w:sdtContent>
          <w:r w:rsidRPr="126C98ED" w:rsidR="00E20018">
            <w:rPr>
              <w:rFonts w:ascii="MS Gothic" w:hAnsi="MS Gothic" w:eastAsia="MS Gothic" w:cs="Calibri" w:cstheme="minorAsci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  <w:sdtEndPr>
          <w:rPr>
            <w:rFonts w:eastAsia="Times New Roman" w:cs="Calibri" w:cstheme="minorAscii"/>
            <w:color w:val="373D3F"/>
            <w:sz w:val="24"/>
            <w:szCs w:val="24"/>
            <w:lang w:eastAsia="en-CA"/>
          </w:rPr>
        </w:sdtEndPr>
      </w:sdt>
      <w:r w:rsidRPr="126C98ED" w:rsidR="00E20018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126C98ED" w:rsidR="00E358F3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 xml:space="preserve">All speech </w:t>
      </w:r>
      <w:r w:rsidRPr="126C98ED" w:rsidR="00E358F3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>content</w:t>
      </w:r>
    </w:p>
    <w:p w:rsidR="00E358F3" w:rsidP="126C98ED" w:rsidRDefault="00E20018" w14:paraId="556734E9" w14:textId="32F2F268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ind w:left="720"/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id w:val="-1624832937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eastAsia="Times New Roman" w:cs="Calibri" w:cstheme="minorAscii"/>
            <w:color w:val="373D3F"/>
            <w:kern w:val="0"/>
            <w:sz w:val="24"/>
            <w:szCs w:val="24"/>
            <w:lang w:eastAsia="en-CA"/>
            <w14:ligatures w14:val="none"/>
          </w:rPr>
        </w:sdtPr>
        <w:sdtContent>
          <w:r w:rsidRPr="126C98ED" w:rsidR="00E20018">
            <w:rPr>
              <w:rFonts w:ascii="MS Gothic" w:hAnsi="MS Gothic" w:eastAsia="MS Gothic" w:cs="Calibri" w:cstheme="minorAsci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  <w:sdtEndPr>
          <w:rPr>
            <w:rFonts w:eastAsia="Times New Roman" w:cs="Calibri" w:cstheme="minorAscii"/>
            <w:color w:val="373D3F"/>
            <w:sz w:val="24"/>
            <w:szCs w:val="24"/>
            <w:lang w:eastAsia="en-CA"/>
          </w:rPr>
        </w:sdtEndPr>
      </w:sdt>
      <w:r w:rsidRPr="126C98ED" w:rsidR="00E20018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126C98ED" w:rsidR="00E358F3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>Relevant descriptions of speech</w:t>
      </w:r>
    </w:p>
    <w:p w:rsidR="00E358F3" w:rsidP="126C98ED" w:rsidRDefault="00E20018" w14:paraId="077BFA40" w14:textId="68F5B484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ind w:left="720"/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id w:val="-1277865940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eastAsia="Times New Roman" w:cs="Calibri" w:cstheme="minorAscii"/>
            <w:color w:val="373D3F"/>
            <w:kern w:val="0"/>
            <w:sz w:val="24"/>
            <w:szCs w:val="24"/>
            <w:lang w:eastAsia="en-CA"/>
            <w14:ligatures w14:val="none"/>
          </w:rPr>
        </w:sdtPr>
        <w:sdtContent>
          <w:r w:rsidRPr="126C98ED" w:rsidR="00E20018">
            <w:rPr>
              <w:rFonts w:ascii="MS Gothic" w:hAnsi="MS Gothic" w:eastAsia="MS Gothic" w:cs="Calibri" w:cstheme="minorAsci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  <w:sdtEndPr>
          <w:rPr>
            <w:rFonts w:eastAsia="Times New Roman" w:cs="Calibri" w:cstheme="minorAscii"/>
            <w:color w:val="373D3F"/>
            <w:sz w:val="24"/>
            <w:szCs w:val="24"/>
            <w:lang w:eastAsia="en-CA"/>
          </w:rPr>
        </w:sdtEndPr>
      </w:sdt>
      <w:r w:rsidRPr="126C98ED" w:rsidR="00E20018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126C98ED" w:rsidR="00E358F3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>Descriptions of relevant non-speech audio</w:t>
      </w:r>
    </w:p>
    <w:p w:rsidR="00E358F3" w:rsidP="126C98ED" w:rsidRDefault="00E20018" w14:paraId="69E720D2" w14:textId="4B185788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ind w:left="720"/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id w:val="-622462132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eastAsia="Times New Roman" w:cs="Calibri" w:cstheme="minorAscii"/>
            <w:color w:val="373D3F"/>
            <w:kern w:val="0"/>
            <w:sz w:val="24"/>
            <w:szCs w:val="24"/>
            <w:lang w:eastAsia="en-CA"/>
            <w14:ligatures w14:val="none"/>
          </w:rPr>
        </w:sdtPr>
        <w:sdtContent>
          <w:r w:rsidRPr="126C98ED" w:rsidR="00E20018">
            <w:rPr>
              <w:rFonts w:ascii="MS Gothic" w:hAnsi="MS Gothic" w:eastAsia="MS Gothic" w:cs="Calibri" w:cstheme="minorAsci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  <w:sdtEndPr>
          <w:rPr>
            <w:rFonts w:eastAsia="Times New Roman" w:cs="Calibri" w:cstheme="minorAscii"/>
            <w:color w:val="373D3F"/>
            <w:sz w:val="24"/>
            <w:szCs w:val="24"/>
            <w:lang w:eastAsia="en-CA"/>
          </w:rPr>
        </w:sdtEndPr>
      </w:sdt>
      <w:r w:rsidRPr="126C98ED" w:rsidR="00E20018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Pr="126C98ED" w:rsidR="00E358F3">
        <w:rPr>
          <w:rFonts w:eastAsia="Times New Roman" w:cs="Calibri" w:cstheme="minorAscii"/>
          <w:color w:val="373D3F"/>
          <w:kern w:val="0"/>
          <w:sz w:val="24"/>
          <w:szCs w:val="24"/>
          <w:lang w:eastAsia="en-CA"/>
          <w14:ligatures w14:val="none"/>
        </w:rPr>
        <w:t>Headings and subheadings</w:t>
      </w:r>
    </w:p>
    <w:p w:rsidR="00E20018" w:rsidP="00E20018" w:rsidRDefault="00E20018" w14:paraId="66C86D49" w14:textId="7777777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</w:p>
    <w:p w:rsidRPr="00E358F3" w:rsidR="00E20018" w:rsidP="00E20018" w:rsidRDefault="00E20018" w14:paraId="7B0D0105" w14:textId="58E002FF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-1647114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Captions of all speech content and relevant non-speech content are included (for example, audio synchronized with a video presentation).</w:t>
      </w:r>
    </w:p>
    <w:p w:rsidRPr="00563F33" w:rsidR="00563F33" w:rsidP="00563F33" w:rsidRDefault="00E20018" w14:paraId="4686A6E5" w14:textId="1B9CFF4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</w:pPr>
      <w:sdt>
        <w:sdtPr>
          <w:rPr>
            <w:rFonts w:eastAsia="Times New Roman" w:cstheme="minorHAnsi"/>
            <w:color w:val="373D3F"/>
            <w:kern w:val="0"/>
            <w:sz w:val="24"/>
            <w:szCs w:val="24"/>
            <w:lang w:eastAsia="en-CA"/>
            <w14:ligatures w14:val="none"/>
          </w:rPr>
          <w:id w:val="153221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kern w:val="0"/>
              <w:sz w:val="24"/>
              <w:szCs w:val="24"/>
              <w:lang w:eastAsia="en-CA"/>
              <w14:ligatures w14:val="none"/>
            </w:rPr>
            <w:t>☐</w:t>
          </w:r>
        </w:sdtContent>
      </w:sdt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</w:t>
      </w:r>
      <w:r w:rsidR="00E358F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Audio descriptions of contextual visuals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(</w:t>
      </w:r>
      <w:r w:rsidR="00E358F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for example, 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graphs</w:t>
      </w:r>
      <w:r w:rsidR="00E358F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and</w:t>
      </w:r>
      <w:r w:rsidRPr="00563F33" w:rsidR="00563F3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charts) are </w:t>
      </w:r>
      <w:r w:rsidR="00E358F3"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>included</w:t>
      </w:r>
      <w:r>
        <w:rPr>
          <w:rFonts w:eastAsia="Times New Roman" w:cstheme="minorHAnsi"/>
          <w:color w:val="373D3F"/>
          <w:kern w:val="0"/>
          <w:sz w:val="24"/>
          <w:szCs w:val="24"/>
          <w:lang w:eastAsia="en-CA"/>
          <w14:ligatures w14:val="none"/>
        </w:rPr>
        <w:t xml:space="preserve"> in the multimedia resource.</w:t>
      </w:r>
    </w:p>
    <w:p w:rsidR="00563F33" w:rsidP="00563F33" w:rsidRDefault="00563F33" w14:paraId="30C41E45" w14:textId="7033D6E8">
      <w:pPr>
        <w:pStyle w:val="Heading1"/>
      </w:pPr>
      <w:r>
        <w:t>Font size</w:t>
      </w:r>
    </w:p>
    <w:p w:rsidRPr="00563F33" w:rsidR="00563F33" w:rsidP="00563F33" w:rsidRDefault="00E20018" w14:paraId="5765EA06" w14:textId="0D301440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73D3F"/>
          <w:sz w:val="24"/>
          <w:szCs w:val="24"/>
        </w:rPr>
      </w:pPr>
      <w:sdt>
        <w:sdtPr>
          <w:rPr>
            <w:rFonts w:cstheme="minorHAnsi"/>
            <w:color w:val="373D3F"/>
            <w:sz w:val="24"/>
            <w:szCs w:val="24"/>
          </w:rPr>
          <w:id w:val="-22614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sz w:val="24"/>
              <w:szCs w:val="24"/>
            </w:rPr>
            <w:t>☐</w:t>
          </w:r>
        </w:sdtContent>
      </w:sdt>
      <w:r>
        <w:rPr>
          <w:rFonts w:cstheme="minorHAnsi"/>
          <w:color w:val="373D3F"/>
          <w:sz w:val="24"/>
          <w:szCs w:val="24"/>
        </w:rPr>
        <w:t xml:space="preserve"> </w:t>
      </w:r>
      <w:r w:rsidRPr="00563F33" w:rsidR="00563F33">
        <w:rPr>
          <w:rFonts w:cstheme="minorHAnsi"/>
          <w:color w:val="373D3F"/>
          <w:sz w:val="24"/>
          <w:szCs w:val="24"/>
        </w:rPr>
        <w:t>Font size is 12 point or higher for body text.</w:t>
      </w:r>
    </w:p>
    <w:p w:rsidRPr="00563F33" w:rsidR="00563F33" w:rsidP="00563F33" w:rsidRDefault="00E20018" w14:paraId="551FACA1" w14:textId="3636C086">
      <w:pPr>
        <w:shd w:val="clear" w:color="auto" w:fill="FFFFFF"/>
        <w:spacing w:after="100" w:afterAutospacing="1" w:line="240" w:lineRule="auto"/>
        <w:rPr>
          <w:rFonts w:cstheme="minorHAnsi"/>
          <w:color w:val="373D3F"/>
          <w:sz w:val="24"/>
          <w:szCs w:val="24"/>
        </w:rPr>
      </w:pPr>
      <w:sdt>
        <w:sdtPr>
          <w:rPr>
            <w:rFonts w:cstheme="minorHAnsi"/>
            <w:color w:val="373D3F"/>
            <w:sz w:val="24"/>
            <w:szCs w:val="24"/>
          </w:rPr>
          <w:id w:val="-1825656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sz w:val="24"/>
              <w:szCs w:val="24"/>
            </w:rPr>
            <w:t>☐</w:t>
          </w:r>
        </w:sdtContent>
      </w:sdt>
      <w:r>
        <w:rPr>
          <w:rFonts w:cstheme="minorHAnsi"/>
          <w:color w:val="373D3F"/>
          <w:sz w:val="24"/>
          <w:szCs w:val="24"/>
        </w:rPr>
        <w:t xml:space="preserve"> </w:t>
      </w:r>
      <w:r w:rsidRPr="00563F33" w:rsidR="00563F33">
        <w:rPr>
          <w:rFonts w:cstheme="minorHAnsi"/>
          <w:color w:val="373D3F"/>
          <w:sz w:val="24"/>
          <w:szCs w:val="24"/>
        </w:rPr>
        <w:t xml:space="preserve">Font size is </w:t>
      </w:r>
      <w:r>
        <w:rPr>
          <w:rFonts w:cstheme="minorHAnsi"/>
          <w:color w:val="373D3F"/>
          <w:sz w:val="24"/>
          <w:szCs w:val="24"/>
        </w:rPr>
        <w:t xml:space="preserve">at least </w:t>
      </w:r>
      <w:r w:rsidRPr="00563F33" w:rsidR="00563F33">
        <w:rPr>
          <w:rFonts w:cstheme="minorHAnsi"/>
          <w:color w:val="373D3F"/>
          <w:sz w:val="24"/>
          <w:szCs w:val="24"/>
        </w:rPr>
        <w:t xml:space="preserve">9 </w:t>
      </w:r>
      <w:proofErr w:type="gramStart"/>
      <w:r w:rsidRPr="00563F33" w:rsidR="00563F33">
        <w:rPr>
          <w:rFonts w:cstheme="minorHAnsi"/>
          <w:color w:val="373D3F"/>
          <w:sz w:val="24"/>
          <w:szCs w:val="24"/>
        </w:rPr>
        <w:t>point</w:t>
      </w:r>
      <w:proofErr w:type="gramEnd"/>
      <w:r w:rsidRPr="00563F33" w:rsidR="00563F33">
        <w:rPr>
          <w:rFonts w:cstheme="minorHAnsi"/>
          <w:color w:val="373D3F"/>
          <w:sz w:val="24"/>
          <w:szCs w:val="24"/>
        </w:rPr>
        <w:t xml:space="preserve"> for footnotes or</w:t>
      </w:r>
      <w:r>
        <w:rPr>
          <w:rFonts w:cstheme="minorHAnsi"/>
          <w:color w:val="373D3F"/>
          <w:sz w:val="24"/>
          <w:szCs w:val="24"/>
        </w:rPr>
        <w:t xml:space="preserve"> endnotes</w:t>
      </w:r>
      <w:r w:rsidRPr="00563F33" w:rsidR="00563F33">
        <w:rPr>
          <w:rFonts w:cstheme="minorHAnsi"/>
          <w:color w:val="373D3F"/>
          <w:sz w:val="24"/>
          <w:szCs w:val="24"/>
        </w:rPr>
        <w:t>.</w:t>
      </w:r>
    </w:p>
    <w:p w:rsidRPr="00563F33" w:rsidR="00563F33" w:rsidP="00563F33" w:rsidRDefault="00E20018" w14:paraId="6FA8C513" w14:textId="1C385DE5">
      <w:pPr>
        <w:shd w:val="clear" w:color="auto" w:fill="FFFFFF"/>
        <w:spacing w:after="100" w:afterAutospacing="1" w:line="240" w:lineRule="auto"/>
        <w:rPr>
          <w:rFonts w:cstheme="minorHAnsi"/>
          <w:color w:val="373D3F"/>
          <w:sz w:val="24"/>
          <w:szCs w:val="24"/>
        </w:rPr>
      </w:pPr>
      <w:sdt>
        <w:sdtPr>
          <w:rPr>
            <w:rFonts w:cstheme="minorHAnsi"/>
            <w:color w:val="373D3F"/>
            <w:sz w:val="24"/>
            <w:szCs w:val="24"/>
          </w:rPr>
          <w:id w:val="-103117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color w:val="373D3F"/>
              <w:sz w:val="24"/>
              <w:szCs w:val="24"/>
            </w:rPr>
            <w:t>☐</w:t>
          </w:r>
        </w:sdtContent>
      </w:sdt>
      <w:r>
        <w:rPr>
          <w:rFonts w:cstheme="minorHAnsi"/>
          <w:color w:val="373D3F"/>
          <w:sz w:val="24"/>
          <w:szCs w:val="24"/>
        </w:rPr>
        <w:t xml:space="preserve"> </w:t>
      </w:r>
      <w:r w:rsidRPr="00563F33" w:rsidR="00563F33">
        <w:rPr>
          <w:rFonts w:cstheme="minorHAnsi"/>
          <w:color w:val="373D3F"/>
          <w:sz w:val="24"/>
          <w:szCs w:val="24"/>
        </w:rPr>
        <w:t>Font size can be enlarged by 200 per cent</w:t>
      </w:r>
      <w:r>
        <w:rPr>
          <w:rFonts w:cstheme="minorHAnsi"/>
          <w:color w:val="373D3F"/>
          <w:sz w:val="24"/>
          <w:szCs w:val="24"/>
        </w:rPr>
        <w:t>.</w:t>
      </w:r>
    </w:p>
    <w:p w:rsidR="00563F33" w:rsidP="00563F33" w:rsidRDefault="00563F33" w14:paraId="14011132" w14:textId="77777777"/>
    <w:p w:rsidRPr="00563F33" w:rsidR="00563F33" w:rsidP="00563F33" w:rsidRDefault="00563F33" w14:paraId="64D26801" w14:textId="68A42B85">
      <w:r w:rsidR="00563F33">
        <w:rPr/>
        <w:t>Adaptation of “</w:t>
      </w:r>
      <w:hyperlink r:id="Rb495bdedcd464512">
        <w:r w:rsidRPr="1BAC82BB" w:rsidR="00563F33">
          <w:rPr>
            <w:rStyle w:val="Hyperlink"/>
          </w:rPr>
          <w:t>Appendix A: Checklist for Accessibility</w:t>
        </w:r>
      </w:hyperlink>
      <w:r w:rsidR="00563F33">
        <w:rPr/>
        <w:t xml:space="preserve">” from </w:t>
      </w:r>
      <w:hyperlink r:id="R3e6858efd68b4f07">
        <w:r w:rsidRPr="1BAC82BB" w:rsidR="00563F33">
          <w:rPr>
            <w:rStyle w:val="Hyperlink"/>
            <w:i w:val="1"/>
            <w:iCs w:val="1"/>
          </w:rPr>
          <w:t>Accessibility Toolkit – 2</w:t>
        </w:r>
        <w:r w:rsidRPr="1BAC82BB" w:rsidR="00563F33">
          <w:rPr>
            <w:rStyle w:val="Hyperlink"/>
            <w:i w:val="1"/>
            <w:iCs w:val="1"/>
            <w:vertAlign w:val="superscript"/>
          </w:rPr>
          <w:t>nd</w:t>
        </w:r>
        <w:r w:rsidRPr="1BAC82BB" w:rsidR="00563F33">
          <w:rPr>
            <w:rStyle w:val="Hyperlink"/>
            <w:i w:val="1"/>
            <w:iCs w:val="1"/>
          </w:rPr>
          <w:t xml:space="preserve"> Edition</w:t>
        </w:r>
      </w:hyperlink>
      <w:r w:rsidR="00563F33">
        <w:rPr/>
        <w:t xml:space="preserve"> (2018) by Amanda Coolidge, Sue Doner, Tara Robertson and Josie Gray, CC BY 4.0</w:t>
      </w:r>
      <w:r w:rsidR="3620C0E8">
        <w:rPr/>
        <w:t xml:space="preserve"> and “</w:t>
      </w:r>
      <w:hyperlink r:id="R0882a8712dc449f0">
        <w:r w:rsidRPr="1BAC82BB" w:rsidR="3620C0E8">
          <w:rPr>
            <w:rStyle w:val="Hyperlink"/>
          </w:rPr>
          <w:t>Accessibility Checklist</w:t>
        </w:r>
      </w:hyperlink>
      <w:r w:rsidR="3620C0E8">
        <w:rPr/>
        <w:t xml:space="preserve">” from </w:t>
      </w:r>
      <w:hyperlink r:id="R83188b190ace495e">
        <w:r w:rsidRPr="1BAC82BB" w:rsidR="395861AA">
          <w:rPr>
            <w:rStyle w:val="Hyperlink"/>
            <w:i w:val="1"/>
            <w:iCs w:val="1"/>
          </w:rPr>
          <w:t>The Rebus Guide to Publishing Open Textbooks</w:t>
        </w:r>
        <w:r w:rsidRPr="1BAC82BB" w:rsidR="15304615">
          <w:rPr>
            <w:rStyle w:val="Hyperlink"/>
            <w:i w:val="1"/>
            <w:iCs w:val="1"/>
          </w:rPr>
          <w:t xml:space="preserve"> (So Far)</w:t>
        </w:r>
      </w:hyperlink>
      <w:r w:rsidR="395861AA">
        <w:rPr/>
        <w:t xml:space="preserve"> (2019) by Apurva Ashok, Zoe Wake Hyde and Kaitlin Schilling, CC BY 4.0.</w:t>
      </w:r>
    </w:p>
    <w:sectPr w:rsidRPr="00563F33" w:rsidR="00563F33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E35"/>
    <w:multiLevelType w:val="multilevel"/>
    <w:tmpl w:val="CE04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8511396"/>
    <w:multiLevelType w:val="hybridMultilevel"/>
    <w:tmpl w:val="0C707C3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5477D8"/>
    <w:multiLevelType w:val="multilevel"/>
    <w:tmpl w:val="DBE0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A7926F4"/>
    <w:multiLevelType w:val="multilevel"/>
    <w:tmpl w:val="2BDE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25F155D"/>
    <w:multiLevelType w:val="multilevel"/>
    <w:tmpl w:val="714C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9B8153B"/>
    <w:multiLevelType w:val="multilevel"/>
    <w:tmpl w:val="77D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EF908BA"/>
    <w:multiLevelType w:val="multilevel"/>
    <w:tmpl w:val="E07A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7E2A6B2A"/>
    <w:multiLevelType w:val="multilevel"/>
    <w:tmpl w:val="0C06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086153876">
    <w:abstractNumId w:val="4"/>
  </w:num>
  <w:num w:numId="2" w16cid:durableId="1000045407">
    <w:abstractNumId w:val="0"/>
  </w:num>
  <w:num w:numId="3" w16cid:durableId="1112282804">
    <w:abstractNumId w:val="5"/>
  </w:num>
  <w:num w:numId="4" w16cid:durableId="595021693">
    <w:abstractNumId w:val="6"/>
  </w:num>
  <w:num w:numId="5" w16cid:durableId="1660159162">
    <w:abstractNumId w:val="2"/>
  </w:num>
  <w:num w:numId="6" w16cid:durableId="1641298935">
    <w:abstractNumId w:val="7"/>
  </w:num>
  <w:num w:numId="7" w16cid:durableId="1470320080">
    <w:abstractNumId w:val="3"/>
  </w:num>
  <w:num w:numId="8" w16cid:durableId="1579049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33"/>
    <w:rsid w:val="000C7F82"/>
    <w:rsid w:val="00563F33"/>
    <w:rsid w:val="00810369"/>
    <w:rsid w:val="00E20018"/>
    <w:rsid w:val="00E358F3"/>
    <w:rsid w:val="126C98ED"/>
    <w:rsid w:val="15304615"/>
    <w:rsid w:val="1BAC82BB"/>
    <w:rsid w:val="25A28E71"/>
    <w:rsid w:val="33CA8347"/>
    <w:rsid w:val="3620C0E8"/>
    <w:rsid w:val="37BC9149"/>
    <w:rsid w:val="395861AA"/>
    <w:rsid w:val="3AF4320B"/>
    <w:rsid w:val="726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2216"/>
  <w15:chartTrackingRefBased/>
  <w15:docId w15:val="{20040173-48C5-4E08-8098-EB35E663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F3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3F3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63F3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563F3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63F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F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glossaryDocument" Target="glossary/document.xml" Id="R88be5dbe39d543be" /><Relationship Type="http://schemas.openxmlformats.org/officeDocument/2006/relationships/hyperlink" Target="https://opentextbc.ca/accessibilitytoolkit/back-matter/appendix-checklist-for-accessibility-toolkit/" TargetMode="External" Id="Rb495bdedcd464512" /><Relationship Type="http://schemas.openxmlformats.org/officeDocument/2006/relationships/hyperlink" Target="https://opentextbc.ca/accessibilitytoolkit" TargetMode="External" Id="R3e6858efd68b4f07" /><Relationship Type="http://schemas.openxmlformats.org/officeDocument/2006/relationships/hyperlink" Target="https://press.rebus.community/the-rebus-guide-to-publishing-open-textbooks/back-matter/accessibility-assessment/" TargetMode="External" Id="R0882a8712dc449f0" /><Relationship Type="http://schemas.openxmlformats.org/officeDocument/2006/relationships/hyperlink" Target="https://press.rebus.community/the-rebus-guide-to-publishing-open-textbooks/" TargetMode="External" Id="R83188b190ace495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3fe1f-638b-4fd5-9a95-339450dde6b3}"/>
      </w:docPartPr>
      <w:docPartBody>
        <w:p w14:paraId="77B53BB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7909BE2019348A95030D97E13DA52" ma:contentTypeVersion="13" ma:contentTypeDescription="Create a new document." ma:contentTypeScope="" ma:versionID="97279154f65b3e9fe9a3a758d382c6a7">
  <xsd:schema xmlns:xsd="http://www.w3.org/2001/XMLSchema" xmlns:xs="http://www.w3.org/2001/XMLSchema" xmlns:p="http://schemas.microsoft.com/office/2006/metadata/properties" xmlns:ns2="d7771a8d-72d6-4339-994c-a7ba70522965" xmlns:ns3="d75ab629-6a3d-4022-97d6-283fd502d39a" targetNamespace="http://schemas.microsoft.com/office/2006/metadata/properties" ma:root="true" ma:fieldsID="3a214018bb65c546afa988184ea4b611" ns2:_="" ns3:_="">
    <xsd:import namespace="d7771a8d-72d6-4339-994c-a7ba70522965"/>
    <xsd:import namespace="d75ab629-6a3d-4022-97d6-283fd502d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71a8d-72d6-4339-994c-a7ba70522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ab629-6a3d-4022-97d6-283fd502d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bb8e51d-3e9b-477e-a0a7-c8e6a289acd7}" ma:internalName="TaxCatchAll" ma:showField="CatchAllData" ma:web="d75ab629-6a3d-4022-97d6-283fd502d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771a8d-72d6-4339-994c-a7ba70522965">
      <Terms xmlns="http://schemas.microsoft.com/office/infopath/2007/PartnerControls"/>
    </lcf76f155ced4ddcb4097134ff3c332f>
    <TaxCatchAll xmlns="d75ab629-6a3d-4022-97d6-283fd502d39a" xsi:nil="true"/>
  </documentManagement>
</p:properties>
</file>

<file path=customXml/itemProps1.xml><?xml version="1.0" encoding="utf-8"?>
<ds:datastoreItem xmlns:ds="http://schemas.openxmlformats.org/officeDocument/2006/customXml" ds:itemID="{2FE16DD5-FB48-4CDF-B0E9-234B866B3E04}"/>
</file>

<file path=customXml/itemProps2.xml><?xml version="1.0" encoding="utf-8"?>
<ds:datastoreItem xmlns:ds="http://schemas.openxmlformats.org/officeDocument/2006/customXml" ds:itemID="{F3AC4F87-425E-483A-8AFB-11AB6E712558}"/>
</file>

<file path=customXml/itemProps3.xml><?xml version="1.0" encoding="utf-8"?>
<ds:datastoreItem xmlns:ds="http://schemas.openxmlformats.org/officeDocument/2006/customXml" ds:itemID="{B86F67A1-F3A0-45CD-85EB-80E5668DE9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Melanie Brunet</dc:creator>
  <keywords/>
  <dc:description/>
  <lastModifiedBy>Mélanie Brunet</lastModifiedBy>
  <revision>4</revision>
  <dcterms:created xsi:type="dcterms:W3CDTF">2023-09-04T19:20:00.0000000Z</dcterms:created>
  <dcterms:modified xsi:type="dcterms:W3CDTF">2023-09-21T00:40:20.2196676Z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0x010100B987909BE2019348A95030D97E13DA52</vt:lpwstr>
  </property>
  <property fmtid="{D5CDD505-2E9C-101B-9397-08002B2CF9AE}" pid="3" name="MediaServiceImageTags">
    <vt:lpwstr/>
  </property>
</Properties>
</file>